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05:48 МСК · База обновлена: 25.07.2026, 05:32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ходе проведения плановой выездной проверки в отношении юридического лица, осуществляющего реализацию пищевой продукции, по результатам экспертизы исследованной молочной продукции выявлено несоответствие обязательным требованиям по показателям безопасности, установленным техническими регламентами Таможенного Союза.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качества к молоку и молочной продукции, выпускаемых в обращение на таможенной территории Таможенного союза, а также к +____________________________________________________________________________________________+ молока и молочной продукции для обеспечения их свободного перемещения (преамбула 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показателям безопасности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технологическим процессам, процессам сохранения свойств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срокам хранения, упаковочным материалам, средствам утилизации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процессам их производства, хранения, перевозки, реализации и утилизации, требования к маркировке и упаковке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процессам их производства, хранения, перевозки, реализации и утилизации, требования к маркировке и упаковке</w:t>
      </w:r>
    </w:p>
    <w:p>
      <w:pPr>
        <w:ind w:left="504"/>
      </w:pPr>
      <w:r>
        <w:rPr>
          <w:b w:val="0"/>
          <w:i/>
        </w:rPr>
        <w:t>Технический регламент Таможенного союза «О безопасности молока и молочной продукции» (ТР ТС 033/2013) устанавливает обязательные для применения и исполнения на таможенной территории Таможенного союза требования безопасности к молоку и молочной продукции, выпускаемых в обращение на таможенной территории Таможенного союза, к процессам их производства, хранения, перевозки, реализации и утилизации, а также требования к маркировке и упаковке молока и молочной продукции для обеспечения их свободного перемещения</w:t>
        <w:br/>
        <w:br/>
        <w:t>(преамбула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других технических регламентов Таможенного союза, действие которых на них распространяется</w:t>
      </w:r>
    </w:p>
    <w:p>
      <w:pPr>
        <w:ind w:left="504"/>
      </w:pPr>
      <w:r>
        <w:rPr>
          <w:b w:val="0"/>
          <w:i/>
        </w:rPr>
        <w:t>Молоко и молочная продукция выпускаются в обращение на рынке государств – членов Таможенного союза и Единого экономического пространства при их соответствии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  <w:br/>
        <w:br/>
        <w:t>(статья 7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Государства-члены обеспечивают обращение на рынке государств-членов молока и молочной продукции, соответствующих требованиям Технического регламента Таможенного союза «О безопасности молока и молочной продукции» (ТР ТС 033/2013)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условии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проведения дополнительных процедур оценки (подтверждения) соответствия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разрешения органа государственного санитарного 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разрешения органа государственного ветеринарного 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без проведения дополнительных процедур оценки (подтверждения) соответствия</w:t>
      </w:r>
    </w:p>
    <w:p>
      <w:pPr>
        <w:ind w:left="504"/>
      </w:pPr>
      <w:r>
        <w:rPr>
          <w:b w:val="0"/>
          <w:i/>
        </w:rPr>
        <w:t>Государства-члены обеспечивают обращение на рынке государств-членов молока и молочной продукции, соответствующих требованиям настоящего технического регламента, а также требованиям других технических регламентов Таможенного союза, действие которых на них распространяется, на территории государства-члена без предъявления дополнительных по отношению к содержащимся в настоящем техническом регламенте требований и без проведения дополнительных процедур оценки (подтверждения) соответствия</w:t>
        <w:br/>
        <w:br/>
        <w:t>(статья 9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Молочная продукция, находящаяся в обращении на таможенной территории Таможенного союза, должна быть безопасна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установленных Федеральным законом от 30.03.1999 N 52-ФЗ «О санитарно-эпидемиологическом благополучии населения»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установленных Федеральным законом от 02.01.2000 N 29-ФЗ «О качестве и безопасности пищевых продуктов» требований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установленного 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установленного срока годности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установленного срока годности</w:t>
      </w:r>
    </w:p>
    <w:p>
      <w:pPr>
        <w:ind w:left="504"/>
      </w:pPr>
      <w:r>
        <w:rPr>
          <w:b w:val="0"/>
          <w:i/>
        </w:rPr>
        <w:t>Молочная продукция, находящаяся в обращении на таможенной территории Таможенного союза в течение установленного срока годности, при использовании по назначению должна быть безопасна</w:t>
        <w:br/>
        <w:br/>
        <w:t>(статья 30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Прежде всего, при производстве молока и молочной продукции, +__________+ должны(ен/а)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производственный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декларация о соответствии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маркировка и упаковка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технологические процессы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технологические процессы</w:t>
      </w:r>
    </w:p>
    <w:p>
      <w:pPr>
        <w:ind w:left="504"/>
      </w:pPr>
      <w:r>
        <w:rPr>
          <w:b w:val="0"/>
          <w:i/>
        </w:rPr>
        <w:t>Технологические процессы, применяемые при производстве молока и молочной продукции, должны обеспечивать выпуск продукции, соответствующей требованиям Технического регламента Таможенного союза «О безопасности молока и молочной продукции» (ТР ТС 033/2013), а также требованиям других технических регламентов Таможенного союза, действие которых на них распространяется</w:t>
        <w:br/>
        <w:br/>
        <w:t>(статья 43 ТР ТС 033/2013)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продукцией; на всех стадиях процесса производства молока и молочной продукции необходимо обеспечивать 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лабораторный контроль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маркировку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качество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прослеживаемость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прослеживаемость</w:t>
      </w:r>
    </w:p>
    <w:p>
      <w:pPr>
        <w:ind w:left="504"/>
      </w:pPr>
      <w:r>
        <w:rPr>
          <w:b w:val="0"/>
          <w:i/>
        </w:rPr>
        <w:t>Материалы, контактирующие с молоком и молочной продукцией в процессе производства, должны соответствовать требованиям, предъявляемым к безопасности материалов, контактирующих с пищевой продукцией. На всех стадиях процесса производства молока и молочной продукции должна обеспечиваться их прослеживаемость</w:t>
        <w:br/>
        <w:br/>
        <w:t>(статья 44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федерального закона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федерального закона от 02.01.2000 N 29-ФЗ «О качестве и безопасности пищевых продуктов»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закона от 27.12.2002 N 184-ФЗ «О техническом регулировании»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технического регламента Таможенного союза «О безопасности пищевой продукции» (ТР ТС 021/2011)</w:t>
      </w:r>
    </w:p>
    <w:p>
      <w:pPr>
        <w:ind w:left="504"/>
      </w:pPr>
      <w:r>
        <w:rPr>
          <w:b w:val="0"/>
          <w:i/>
        </w:rPr>
        <w:t>Организация производственных помещений, в которых осуществляется процесс производства молока и молочной продукции, технологическое оборудование и инвентарь, используемые в процессе производства молока и молочной продукции, условия хранения и удаления отходов производства молока и молочной продукции, а также вода, используемая в процессе производства молока и молочной продукции, должны соответствовать требованиям технического регламента Таможенного союза «О безопасности пищевой продукции» (ТР ТС 021/2011)</w:t>
        <w:br/>
        <w:br/>
        <w:t>(статья 46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срока реализации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срока их годности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срока их годности</w:t>
      </w:r>
    </w:p>
    <w:p>
      <w:pPr>
        <w:ind w:left="504"/>
      </w:pPr>
      <w:r>
        <w:rPr>
          <w:b w:val="0"/>
          <w:i/>
        </w:rPr>
        <w:t>Молочная продукция, предназначенная для реализации, должна быть расфасована в упаковку, соответствующую требованиям технического регламента Таможенного союза «О безопасности упаковки» (ТР ТС 005/2011) и обеспечивающую безопасность и сохранение потребительских свойств молока и молочной продукции требованиям настоящего технического регламента в течение срока их годности</w:t>
        <w:br/>
        <w:br/>
        <w:t>(статья 60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+___________________________________+ в соответствии с положениями технического регламента Таможенного союза «О безопасности пищевой продукции» (ТР ТС 021/2011)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санитарно-эпидемиологической экспертизе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государственной регистрации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декларированию осуществления предпринимательской деятельности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государственной регистрации</w:t>
      </w:r>
    </w:p>
    <w:p>
      <w:pPr>
        <w:ind w:left="504"/>
      </w:pPr>
      <w:r>
        <w:rPr>
          <w:b w:val="0"/>
          <w:i/>
        </w:rPr>
        <w:t>Производственные объекты, на которых осуществляются процессы производства сырого молока, сырого обезжиренного молока, сырых сливок и (или) их переработки (обработки) при производстве молочной продукции, подлежат государственной регистрации в соответствии с положениями технического регламента Таможенного союза «О безопасности пищевой продукции» (ТР ТС 021/2011)</w:t>
        <w:br/>
        <w:br/>
        <w:t>(статья 45 ТР ТС 033/2013)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Кроме технического регламента Таможенного союза «О безопасности молока и молочной продукции» (ТР ТС 033/2013) молоко и молочная продукция» должны сопровождаться информацией для потребителей, соответствующей требованиям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санитарных норм и правил, гигиенических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предъявляемым к качеству товаров, изложенным в Федеральном законе от 02.01.2000 N 29-ФЗ «О качестве и безопасности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технического регламента Таможенного союза «Пищевая продукция в части ее маркировки» (ТР ТС 022/2011)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технического регламента Таможенного союза «О безопасности упаковки» (ТР ТС 005/2011)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технического регламента Таможенного союза «Пищевая продукция в части ее маркировки» (ТР ТС 022/2011)</w:t>
      </w:r>
    </w:p>
    <w:p>
      <w:pPr>
        <w:ind w:left="504"/>
      </w:pPr>
      <w:r>
        <w:rPr>
          <w:b w:val="0"/>
          <w:i/>
        </w:rPr>
        <w:t>Молоко и молочная продукция должны сопровождаться информацией для потребителей, соответствующей требованиям технического регламента Таможенного союза «Пищевая продукция в части ее маркировки» (ТР ТС 022/2011) и дополнительным требованиям технического регламента Таможенного союза «О безопасности молока и молочной продукции» (ТР ТС 033/2013).</w:t>
        <w:br/>
        <w:br/>
        <w:t>(статья 66 ТР ТС 033/2013).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Областью применения технического регламента Таможенного союза «О безопасности молока и молочной продукции» (ТР ТС 033/2013) кроме защиты жизни и здоровья человека, жизни и здоровья животных, окружающей среды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действий, вводящих в заблуждение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исключение появления на рынке фальсифицированной и контрафактной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предупреждение действий, нарушающих права юридических лиц и индивидуальных предпринимателей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защита от недобросовестной конкуренции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предупреждение действий, вводящих в заблуждение потребителей</w:t>
      </w:r>
    </w:p>
    <w:p>
      <w:pPr>
        <w:ind w:left="504"/>
      </w:pPr>
      <w:r>
        <w:rPr>
          <w:b w:val="0"/>
          <w:i/>
        </w:rPr>
        <w:t>Технический регламент разработан в целях защиты жизни и здоровья человека, окружающей среды, жизни и здоровья животных, предупреждения действий, вводящих в заблуждение потребителей молока и молочной продукции относительно их назначения и безопасности, и распространяется на молоко и молочную продукцию, выпускаемые в обращение на таможенной территории Таможенного союза, процессы их производства, хранения, перевозки, реализации и утилизации (I.Область применения технического регламента Таможенного союза «О безопасности молока и молочной продукции»</w:t>
        <w:br/>
        <w:br/>
        <w:t>(ТР ТС 033/2013)).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производстве молокосодержащих продуктов не допускается использование побочных продуктов переработки молока, полученных при производстве молокосодержащих продуктов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концентратом сывороточных белков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заменителем молочного жира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масляной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кефиром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заменителем молочного жира</w:t>
      </w:r>
    </w:p>
    <w:p>
      <w:pPr>
        <w:ind w:left="504"/>
      </w:pPr>
      <w:r>
        <w:rPr>
          <w:b w:val="0"/>
          <w:i/>
        </w:rPr>
        <w:t>«Молокосодержащий продукт" - продукт переработки молока, произведенный на основе молока, и (или) его составных частей, и (или) молочных продуктов, и (или) побочных продуктов переработки молока и немолочных компонентов (за исключением жиров немолочного происхождения, вводимых в состав как самостоятельный ингредиент и (или) немолочных белков, используемых для замены молочного белка), которые добавляются не в целях замены составных частей молока, с массовой долей сухих веществ молока в сухих веществах готового продукта не менее 20 процентов. Не допускается использование побочных продуктов переработки молока, полученных при производстве молокосодержащих продуктов с заменителем молочного жира.</w:t>
        <w:br/>
        <w:br/>
        <w:t>(п.5. «Основные понятия» технического регламента Таможенного союза «О безопасности молока и молочной продукции» (ТР ТС 033/2013)).</w:t>
        <w:br/>
        <w:br/>
      </w:r>
      <w:hyperlink r:id="rId20">
        <w:r>
          <w:rPr>
            <w:color w:val="173C49"/>
            <w:u w:val="single"/>
          </w:rPr>
          <w:t>https://docs.cntd.ru/document/499050562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заместитель руководителя управления Роспотребнадзора по «Т-ской области».</w:t>
      </w:r>
    </w:p>
    <w:p>
      <w:pPr>
        <w:spacing w:after="58"/>
      </w:pPr>
      <w:r>
        <w:rPr>
          <w:b w:val="0"/>
          <w:i w:val="0"/>
        </w:rPr>
        <w:t>К Вам поступил проект санитарно-эпидемиологического заключения о 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 (СЗЗ)» с приложением экспертного заключения и проекта обоснования. Предприятие осуществляет деятельность, для которой санитарным законодательством Российской Федерации установлена санитарно-защитная зона (СЗЗ) 300 м (СанПиН 2.2.1/2.1.1.1200-03 «Санитарно-защитные зоны и санитарная классификация предприятий, сооружений и иных объектов»). В ответ на обращение общества с заявлением о выдаче санитарно-эпидемиологического заключения о соответствии/несоответствии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зоны» с приложением экспертного заключения и проекта обоснования размера санитарно-защитной зоны, Управлением Роспотребнадзора принято решение об отказе в сокращении санитарно-защитной зоны с 300 метров до 40-60 метров.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Законом, в соответствии с которым определяется необходимость обоснования размера санитарно-защитной зоны,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кодекс Российской Федерации» от 29.12.2004 N 190-ФЗ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от 10.01.2002 N 7-ФЗ «Об охране окружающей среды»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Земельный кодекс Российской Федерации» от 25.10.2001 N 136-ФЗ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Федеральный закон от 30.03.1999 N 52-ФЗ «О санитарно-эпидемиологическом благополучии населения»</w:t>
      </w:r>
    </w:p>
    <w:p>
      <w:pPr>
        <w:ind w:left="504"/>
      </w:pPr>
      <w:r>
        <w:rPr>
          <w:b w:val="0"/>
          <w:i/>
        </w:rPr>
        <w:t>Федеральный Закон от 30.03.1999г. № 52-ФЗ «О санитарно-эпидемиологическом благополучии населения», ст. 12</w:t>
        <w:br/>
        <w:br/>
        <w:t>П.2.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инженерной инфраструктуры и благоустройства и иных объектов (далее - объекты) должны соблюдаться санитарные правила.</w:t>
        <w:br/>
        <w:br/>
      </w:r>
      <w:hyperlink r:id="rId24">
        <w:r>
          <w:rPr>
            <w:color w:val="173C49"/>
            <w:u w:val="single"/>
          </w:rPr>
          <w:t>Федеральный закон Российской Федерации от 30 марта 1999 г. № 52-ФЗ "О санитарно-эпидемиологическом благополучии населения" (26.12.2024)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Разработка проекта СЗЗ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этапе проведения плановой проверки территориальным органом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разработки кадастровой съемки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всех этапах разработки градостроительной документации, проектов строительства, реконструкции и эксплуатации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выбора земельного участка под строительство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всех этапах разработки градостроительной документации, проектов строительства, реконструкции и эксплуатации</w:t>
      </w:r>
    </w:p>
    <w:p>
      <w:pPr>
        <w:ind w:left="504"/>
      </w:pPr>
      <w:r>
        <w:rPr>
          <w:b w:val="0"/>
          <w:i/>
        </w:rPr>
        <w:t>В соответствии с пунктом 3.1 СанПиН 2.2.1/2.1.1.1200-03 "Санитарно-защитные зоны и санитарная классификация предприятий, сооружений и иных объектов" 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производства и/или группы промышленных объектов и производств.</w:t>
        <w:br/>
        <w:br/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получения санитарно-эпидемиологического заключения заявитель предоставляет в Роспотребнадзор (его территориальный орган) заявление о выдаче санитарно-эпидемиологического заключения,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план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исследований и измерений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результаты плановых проверок объекта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ind w:left="504"/>
      </w:pPr>
      <w:r>
        <w:rPr>
          <w:b w:val="0"/>
          <w:i/>
        </w:rPr>
        <w:t>В силу пункта 16 Для предоставления государственной услуги заявитель представляет в территориальный орган Роспотребнадзора следующие документы:</w:t>
        <w:br/>
        <w:br/>
        <w:t>результаты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проведенных и оформленных в соответствии с порядком, утвержденным приказом Роспотребнадзора от 19.07.2007 N 224 "О санитарно-эпидемиологических экспертизах, обследованиях, исследованиях, испытаниях и токсикологических, гигиенических и иных видах оценок"</w:t>
        <w:br/>
        <w:br/>
      </w:r>
      <w:hyperlink r:id="rId28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предоставления государственной услуги необходимы следующие документы, которые заявитель вправе представить по собственной инициативе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за последние 3 года административных взысканий на юридическое лицо и ответственных должностных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уведомление о начале предпринимательской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504"/>
      </w:pPr>
      <w:r>
        <w:rPr>
          <w:b w:val="0"/>
          <w:i/>
        </w:rPr>
        <w:t>п.20. Для предоставления государственной услуги необходимы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 по собственной инициативе:</w:t>
        <w:br/>
        <w:br/>
        <w:t>* сведения из Единого государственного реестра юридических лиц или Единого государственного реестра индивидуальных предпринимателей;</w:t>
        <w:br/>
        <w:br/>
      </w:r>
      <w:hyperlink r:id="rId28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рассматриваете проект объекта, который относится к III классу опасности. Проект должен содержать расчеты ожидаемого загрязнения атмосферного воздуха (с учетом фона), результаты натурных исследований и измерений,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расчеты уровней загрязнения почвы и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расчеты уровней загрязнения поверхностных вод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расчеты уровней физического воздействия на атмосферный воздух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уровни биологического воздействия на атмосферный воздух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расчеты уровней физического воздействия на атмосферный воздух</w:t>
      </w:r>
    </w:p>
    <w:p>
      <w:pPr>
        <w:ind w:left="504"/>
      </w:pPr>
      <w:r>
        <w:rPr>
          <w:b w:val="0"/>
          <w:i/>
        </w:rPr>
        <w:t>В соответствии с пунктом 2.1 СанПиН 2.2.1/2.1.1.1200-03 "Санитарно-защитные зоны и санитарная классификация предприятий, сооружений и иных объектов" Ориентировочный размер санитарно-защитной зоны должен быть обоснован проектом санитарно-защитной зоны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проекте СЗЗ должны быть определены в том числе размер и границы СЗЗ,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мероприятия по защите населения от неблагоприятных метеоусловий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мероприятия по защите населения от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контрольные точки проведения исследований и измерений на границе с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мероприятия по защите населения от воздействия выбросов загрязняющих веществ и физического воздействия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мероприятия по защите населения от воздействия выбросов загрязняющих веществ и физического воздействия</w:t>
      </w:r>
    </w:p>
    <w:p>
      <w:pPr>
        <w:ind w:left="504"/>
      </w:pPr>
      <w:r>
        <w:rPr>
          <w:b w:val="0"/>
          <w:i/>
        </w:rPr>
        <w:t>В силу пункта 3.10 СанПиН 2.2.1/2.1.1.1200-03 в проекте СЗЗ должны быть определены, в том числе размер и границы СЗЗ, мероприятия по защите населения от воздействия выбросов загрязняющих веществ и физического воздействия.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Установление размеров санитарно-защитных зон для промышленных объектов и производств III класса опасности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постановлением Правительства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постановлением Главного государственного санитарного врача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решением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504"/>
      </w:pPr>
      <w:r>
        <w:rPr>
          <w:b w:val="0"/>
          <w:i/>
        </w:rPr>
        <w:t>П. 4.3. СанПиН 2.2.1/2.1.1.1200-03 «Санитарно-защитные зоны и санитарная классификация предприятий, сооружений и иных объектов» для промышленных объектов и производств III, IV и V классов опасности размеры санитарно-защитных зон могут быть установлены, изменены на основании решения и санитарно-эпидемиологического заключения Главного государственного санитарного врача субъекта Российской Федерации или его заместителя на основании (в ред. Изменения N 1, утв. Постановлением Главного государственного санитарного врача РФ от 10.04.2008 N 25)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Размер санитарно-защитной зоны для действующих объектов III класса может быть уменьшен при объективном доказательстве достижения уровня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наблюдений, при уменьшении мощности, изменении состава, перепрофилировании промышленных объектов и производств и связанном с этим изменении класса опасности; а также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результатам ежедневного мониторинга на границе СЗЗ, инвентаризации выбросов в атмосферу и сокращения выбросов в атмосферу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внедрении мероприятий по предотвращению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выполнении предприятием плана мероприятий по сокращению загрязнения окружающей среды и выполнении работы по оценке риска здоровью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ind w:left="504"/>
      </w:pPr>
      <w:r>
        <w:rPr>
          <w:b w:val="0"/>
          <w:i/>
        </w:rPr>
        <w:t>п.4.5. Размер санитарно-защитной зоны для действующих объектов может быть уменьшен при:</w:t>
        <w:br/>
        <w:br/>
        <w:t>*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дней исследований на каждый ингредиент в отдельной точке) и измерений и оценке риска для здоровья; для промышленных объектов и производств III, IV, V классов опасности по данным натурных исследований приоритетных показателей за состоянием загрязнения атмосферного воздуха (не менее тридцати дней исследований на каждый ингредиент в отдельной точке) и измерений;</w:t>
        <w:br/>
        <w:t>(в ред. Изменения N 1, утв. Постановлением Главного государственного санитарного врача РФ от 10.04.2008 N 25)</w:t>
        <w:br/>
        <w:br/>
        <w:t>*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  <w:br/>
        <w:br/>
        <w:t>* уменьшении мощности, изменении состава, перепрофилировании промышленных объектов и производств и связанном с этим изменении класса опасности;</w:t>
        <w:br/>
        <w:br/>
        <w:t>* внедрении передовых технологических решений, эффективных очистных сооружений, направленных на сокращение уровней воздействия на среду обитания.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представленных результатах санитарно-эпидемиологической экспертизы не учтено несколько источников загрязнения атмосферы, которые также отсутствовали в проекте СЗЗ, режим работы предприятия не соответствовал фактическому. Указанная информация имеется у Вас на основании результатов проведенной плановой проверки.</w:t>
        <w:br/>
        <w:br/>
        <w:t>Основаниями для отказа в выдаче санитарно-эпидемиологического заключения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или несоответствие представленной информации сведениям, содержащимся в государственном кадастре недвижимости и (или) Едином государственном реестре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непредставление бумажного бланка переоформляемого 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действующего аттестата аккредитации и (или) соответствующей области аккредитации у организации, эксперта, оформивших результаты санитарно-эпидемиологических экспертиз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ind w:left="504"/>
      </w:pPr>
      <w:r>
        <w:rPr>
          <w:b w:val="0"/>
          <w:i/>
        </w:rPr>
        <w:t>п.66. В случае установления в ходе административной процедуры оснований для отказа в выдаче санитарно-эпидемиологического заключения, уполномоченный специалист-эксперт подготавливает уведомление об отказе в выдаче санитарно-эпидемиологического заключения с указанием причин отказа.</w:t>
        <w:br/>
        <w:br/>
        <w:t>Основаниями для отказа в выдаче санитарно-эпидемиологического заключения является:</w:t>
        <w:br/>
        <w:br/>
        <w:t>*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требованиям государственных санитарно-эпидемиологических правил и нормативов, а также проведение не в полном объеме исследований и испытаний, их несоответствие методикам;</w:t>
        <w:br/>
        <w:br/>
      </w:r>
      <w:hyperlink r:id="rId28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Результатами предоставления государственной услуги по выдаче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заключений являются: выдача санитарно-эпидемиологического заключения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кадастр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санитарно-эпидемиологической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письмо об осуществлении услуги и постановление Главного государственного санитарного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ind w:left="504"/>
      </w:pPr>
      <w:r>
        <w:rPr>
          <w:b w:val="0"/>
          <w:i/>
        </w:rPr>
        <w:t>п.77. После принятия решения о выдаче, санитарно-эпидемиологическому заключению автоматически присваивается номер, сведения о санитарно-эпидемиологическом заключении вносятся в Реестр.</w:t>
        <w:br/>
        <w:br/>
      </w:r>
      <w:hyperlink r:id="rId28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несовпадения размеров СЗЗ, полученных на основании анализа расчетов, представленных в проекте СЗЗ, выполненных натурных исследований и измерений, результатов оценки риска здоровью населения (для объектов 1 и 2 классов опасности), решение по окончательному размеру данной СЗЗ должно приниматься по варианту, обеспечивающему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безопасность для населения выполненных натурных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технически достижимые уровни воздействия на окружающую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безопасность для населения расчетов, представленных в проекте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наибольшую безопасность для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наибольшую безопасность для населения</w:t>
      </w:r>
    </w:p>
    <w:p>
      <w:pPr>
        <w:ind w:left="504"/>
      </w:pPr>
      <w:r>
        <w:rPr>
          <w:b w:val="0"/>
          <w:i/>
        </w:rPr>
        <w:t>п.3.6. В случае несовпадения размера расчетной санитарно-защитной зоны и полученной на основании оценки риска (для предприятий I - II класса опасности), натурных исследований и измерений химического, биологического и физического воздействия на атмосферный воздух решение по размеру санитарно-защитной зоны принимается по варианту, обеспечивающему наибольшую безопасность для здоровья населения.</w:t>
        <w:br/>
        <w:br/>
      </w:r>
      <w:hyperlink r:id="rId26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Натурные исследования и измерения в целях подтверждения расчетных размеров СЗЗ и установления окончательной СЗЗ должны быть проведены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работе объекта в различных режимах и нагрузках в течение суток,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достижения объектом той проектной мощности, для которой была обоснована расчетная СЗЗ данного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работе объекта в постоянном технологическом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достижения объектом той проектной мощности, для которой была обоснована расчетная СЗЗ данного объекта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 достижения объектом той проектной мощности, для которой была обоснована расчетная СЗЗ данного объекта</w:t>
      </w:r>
    </w:p>
    <w:p>
      <w:pPr>
        <w:ind w:left="504"/>
      </w:pPr>
      <w:r>
        <w:rPr>
          <w:b w:val="0"/>
          <w:i/>
        </w:rPr>
        <w:t>Письмо Роспотребнадзора от 18 июня 2015 г. № 01/6968-15-32 «О рассмотрении проектных материалов по обоснованию окончательных санитарно-защитных зон» п.12. Ориентирующую информацию для хозяйствующего субъекта о том, что установление окончательной СЗЗ осуществляется в порядке, предусмотренном главой IV СанПиН 2.2.1/2.1.1.1200-03, с указанием конкретного номера пункта, в соответствии с которым установление окончательной СЗЗ будет проведено для данного объекта. Отдельно обратить внимание хозяйствующего субъекта на то, что натурные исследования и измерения в целях подтверждения расчетных размеров СЗЗ и установления окончательной СЗЗ должны быть проведены после достижения объектом той проектной мощности, для которой была обоснована расчетная СЗЗ данного объекта.</w:t>
        <w:br/>
        <w:br/>
      </w:r>
      <w:hyperlink r:id="rId38">
        <w:r>
          <w:rPr>
            <w:color w:val="173C49"/>
            <w:u w:val="single"/>
          </w:rPr>
          <w:t>https://docs.cntd.ru/document/420331394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docs.cntd.ru/document/499050562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fzN52_261224/" TargetMode="External"/><Relationship Id="rId25" Type="http://schemas.openxmlformats.org/officeDocument/2006/relationships/hyperlink" Target="https://library.mededtech.ru/rest/documents/fzN52_261224/#paragraph_l03dfm" TargetMode="External"/><Relationship Id="rId26" Type="http://schemas.openxmlformats.org/officeDocument/2006/relationships/hyperlink" Target="https://library.mededtech.ru/rest/documents/sanpin221/" TargetMode="External"/><Relationship Id="rId27" Type="http://schemas.openxmlformats.org/officeDocument/2006/relationships/hyperlink" Target="https://library.mededtech.ru/rest/documents/sanpin221/#paragraph_f1is4g" TargetMode="External"/><Relationship Id="rId28" Type="http://schemas.openxmlformats.org/officeDocument/2006/relationships/hyperlink" Target="https://library.mededtech.ru/rest/documents/prikaz747/" TargetMode="External"/><Relationship Id="rId29" Type="http://schemas.openxmlformats.org/officeDocument/2006/relationships/hyperlink" Target="https://library.mededtech.ru/rest/documents/prikaz747/#list_item_addl5t" TargetMode="External"/><Relationship Id="rId30" Type="http://schemas.openxmlformats.org/officeDocument/2006/relationships/hyperlink" Target="https://library.mededtech.ru/rest/documents/prikaz747/#list_item_7r7em8" TargetMode="External"/><Relationship Id="rId31" Type="http://schemas.openxmlformats.org/officeDocument/2006/relationships/hyperlink" Target="https://library.mededtech.ru/rest/documents/sanpin221/#paragraph_b86k74" TargetMode="External"/><Relationship Id="rId32" Type="http://schemas.openxmlformats.org/officeDocument/2006/relationships/hyperlink" Target="https://library.mededtech.ru/rest/documents/sanpin221/#list_item_57uoln" TargetMode="External"/><Relationship Id="rId33" Type="http://schemas.openxmlformats.org/officeDocument/2006/relationships/hyperlink" Target="https://library.mededtech.ru/rest/documents/sanpin221/#paragraph_bsgi7v" TargetMode="External"/><Relationship Id="rId34" Type="http://schemas.openxmlformats.org/officeDocument/2006/relationships/hyperlink" Target="https://library.mededtech.ru/rest/documents/sanpin221/#list_item_n11l9p" TargetMode="External"/><Relationship Id="rId35" Type="http://schemas.openxmlformats.org/officeDocument/2006/relationships/hyperlink" Target="https://library.mededtech.ru/rest/documents/prikaz747/#list_item_97j7ek" TargetMode="External"/><Relationship Id="rId36" Type="http://schemas.openxmlformats.org/officeDocument/2006/relationships/hyperlink" Target="https://library.mededtech.ru/rest/documents/prikaz747/#paragraph_t46485" TargetMode="External"/><Relationship Id="rId37" Type="http://schemas.openxmlformats.org/officeDocument/2006/relationships/hyperlink" Target="https://library.mededtech.ru/rest/documents/sanpin221/#paragraph_8lcj8n" TargetMode="External"/><Relationship Id="rId38" Type="http://schemas.openxmlformats.org/officeDocument/2006/relationships/hyperlink" Target="https://docs.cntd.ru/document/4203313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